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355A9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bookmarkEnd w:id="0"/>
      <w:r>
        <w:rPr>
          <w:rFonts w:ascii="Times New Roman" w:eastAsia="Times New Roman"/>
          <w:w w:val="99"/>
          <w:u w:val="none"/>
          <w:lang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  <w:lang w:val="en-US" w:eastAsia="zh-CN"/>
        </w:rPr>
        <w:t xml:space="preserve"> 经济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</w:rPr>
        <w:t>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single"/>
          <w:lang w:val="en-US" w:eastAsia="zh-CN"/>
        </w:rPr>
        <w:t xml:space="preserve"> 2024-2025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  <w:lang w:val="en-US" w:eastAsia="zh-CN"/>
        </w:rPr>
        <w:t>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</w:t>
      </w:r>
    </w:p>
    <w:p w14:paraId="72023810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接收辅修专业计划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表</w:t>
      </w:r>
    </w:p>
    <w:p w14:paraId="24CE2BF2">
      <w:pPr>
        <w:pStyle w:val="3"/>
        <w:rPr>
          <w:sz w:val="20"/>
          <w:lang w:eastAsia="zh-CN"/>
        </w:rPr>
      </w:pPr>
    </w:p>
    <w:p w14:paraId="4F9E1481">
      <w:pPr>
        <w:pStyle w:val="3"/>
        <w:spacing w:before="2" w:after="1"/>
        <w:rPr>
          <w:sz w:val="16"/>
          <w:lang w:eastAsia="zh-CN"/>
        </w:rPr>
      </w:pPr>
    </w:p>
    <w:tbl>
      <w:tblPr>
        <w:tblStyle w:val="9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1"/>
        <w:gridCol w:w="1556"/>
        <w:gridCol w:w="1900"/>
        <w:gridCol w:w="1421"/>
        <w:gridCol w:w="1700"/>
      </w:tblGrid>
      <w:tr w14:paraId="303597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77" w:hRule="atLeast"/>
          <w:jc w:val="center"/>
        </w:trPr>
        <w:tc>
          <w:tcPr>
            <w:tcW w:w="2221" w:type="dxa"/>
          </w:tcPr>
          <w:p w14:paraId="50F466A3">
            <w:pPr>
              <w:pStyle w:val="11"/>
              <w:rPr>
                <w:sz w:val="26"/>
                <w:lang w:eastAsia="zh-CN"/>
              </w:rPr>
            </w:pPr>
          </w:p>
          <w:p w14:paraId="438F22C0">
            <w:pPr>
              <w:pStyle w:val="11"/>
              <w:ind w:left="128" w:right="119"/>
              <w:jc w:val="center"/>
              <w:rPr>
                <w:sz w:val="32"/>
              </w:rPr>
            </w:pPr>
            <w:r>
              <w:rPr>
                <w:sz w:val="32"/>
              </w:rPr>
              <w:t>接收专业</w:t>
            </w:r>
          </w:p>
        </w:tc>
        <w:tc>
          <w:tcPr>
            <w:tcW w:w="1556" w:type="dxa"/>
          </w:tcPr>
          <w:p w14:paraId="64DEB540">
            <w:pPr>
              <w:pStyle w:val="11"/>
              <w:jc w:val="center"/>
              <w:rPr>
                <w:sz w:val="24"/>
                <w:szCs w:val="24"/>
                <w:lang w:eastAsia="zh-CN"/>
              </w:rPr>
            </w:pPr>
          </w:p>
          <w:p w14:paraId="648EB3C3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经济学</w:t>
            </w:r>
          </w:p>
          <w:p w14:paraId="7F0CD6AE">
            <w:pPr>
              <w:pStyle w:val="11"/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14:paraId="639FF2EB">
            <w:pPr>
              <w:pStyle w:val="11"/>
              <w:jc w:val="center"/>
              <w:rPr>
                <w:sz w:val="24"/>
                <w:szCs w:val="24"/>
                <w:lang w:eastAsia="zh-CN"/>
              </w:rPr>
            </w:pPr>
          </w:p>
          <w:p w14:paraId="03FB43CB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国际经济与贸易</w:t>
            </w:r>
          </w:p>
          <w:p w14:paraId="14721C7A">
            <w:pPr>
              <w:pStyle w:val="11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right w:val="single" w:color="auto" w:sz="4" w:space="0"/>
            </w:tcBorders>
          </w:tcPr>
          <w:p w14:paraId="6CC8BA2A">
            <w:pPr>
              <w:pStyle w:val="11"/>
              <w:jc w:val="center"/>
              <w:rPr>
                <w:sz w:val="24"/>
                <w:szCs w:val="24"/>
                <w:lang w:eastAsia="zh-CN"/>
              </w:rPr>
            </w:pPr>
          </w:p>
          <w:p w14:paraId="729E03BF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财政学</w:t>
            </w:r>
          </w:p>
        </w:tc>
        <w:tc>
          <w:tcPr>
            <w:tcW w:w="1700" w:type="dxa"/>
            <w:tcBorders>
              <w:left w:val="single" w:color="auto" w:sz="4" w:space="0"/>
            </w:tcBorders>
          </w:tcPr>
          <w:p w14:paraId="16744B92">
            <w:pPr>
              <w:pStyle w:val="11"/>
              <w:jc w:val="center"/>
              <w:rPr>
                <w:sz w:val="24"/>
                <w:szCs w:val="24"/>
                <w:lang w:eastAsia="zh-CN"/>
              </w:rPr>
            </w:pPr>
          </w:p>
          <w:p w14:paraId="75FE3A95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商务经济学</w:t>
            </w:r>
          </w:p>
        </w:tc>
      </w:tr>
      <w:tr w14:paraId="111199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  <w:jc w:val="center"/>
        </w:trPr>
        <w:tc>
          <w:tcPr>
            <w:tcW w:w="2221" w:type="dxa"/>
            <w:vMerge w:val="restart"/>
          </w:tcPr>
          <w:p w14:paraId="2935DEB0">
            <w:pPr>
              <w:pStyle w:val="11"/>
              <w:rPr>
                <w:sz w:val="32"/>
              </w:rPr>
            </w:pPr>
          </w:p>
          <w:p w14:paraId="3E0588EC">
            <w:pPr>
              <w:pStyle w:val="11"/>
              <w:spacing w:before="6"/>
              <w:rPr>
                <w:sz w:val="36"/>
              </w:rPr>
            </w:pPr>
          </w:p>
          <w:p w14:paraId="03B2CC8F">
            <w:pPr>
              <w:pStyle w:val="11"/>
              <w:spacing w:before="1"/>
              <w:ind w:left="309"/>
              <w:rPr>
                <w:sz w:val="32"/>
              </w:rPr>
            </w:pPr>
            <w:r>
              <w:rPr>
                <w:sz w:val="32"/>
              </w:rPr>
              <w:t>拟接收人数</w:t>
            </w:r>
          </w:p>
        </w:tc>
        <w:tc>
          <w:tcPr>
            <w:tcW w:w="1556" w:type="dxa"/>
          </w:tcPr>
          <w:p w14:paraId="7837C331">
            <w:pPr>
              <w:pStyle w:val="11"/>
              <w:jc w:val="center"/>
              <w:rPr>
                <w:sz w:val="24"/>
                <w:szCs w:val="24"/>
              </w:rPr>
            </w:pPr>
          </w:p>
          <w:p w14:paraId="6B44DC6F">
            <w:pPr>
              <w:pStyle w:val="11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</w:t>
            </w:r>
            <w:r>
              <w:rPr>
                <w:sz w:val="24"/>
                <w:szCs w:val="24"/>
                <w:lang w:eastAsia="zh-CN"/>
              </w:rPr>
              <w:t>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  <w:lang w:eastAsia="zh-CN"/>
              </w:rPr>
              <w:t>级10人</w:t>
            </w:r>
          </w:p>
        </w:tc>
        <w:tc>
          <w:tcPr>
            <w:tcW w:w="1900" w:type="dxa"/>
          </w:tcPr>
          <w:p w14:paraId="23A5FCBA">
            <w:pPr>
              <w:pStyle w:val="11"/>
              <w:jc w:val="center"/>
              <w:rPr>
                <w:sz w:val="24"/>
                <w:szCs w:val="24"/>
              </w:rPr>
            </w:pPr>
          </w:p>
          <w:p w14:paraId="1BFB8480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spacing w:val="-54"/>
                <w:sz w:val="24"/>
                <w:szCs w:val="24"/>
              </w:rPr>
              <w:t xml:space="preserve">级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10</w:t>
            </w:r>
            <w:r>
              <w:rPr>
                <w:spacing w:val="-54"/>
                <w:sz w:val="24"/>
                <w:szCs w:val="24"/>
              </w:rPr>
              <w:t xml:space="preserve">    </w:t>
            </w:r>
            <w:r>
              <w:rPr>
                <w:spacing w:val="-42"/>
                <w:sz w:val="24"/>
                <w:szCs w:val="24"/>
              </w:rPr>
              <w:t>人</w:t>
            </w:r>
          </w:p>
        </w:tc>
        <w:tc>
          <w:tcPr>
            <w:tcW w:w="1421" w:type="dxa"/>
            <w:tcBorders>
              <w:right w:val="single" w:color="auto" w:sz="4" w:space="0"/>
            </w:tcBorders>
          </w:tcPr>
          <w:p w14:paraId="02583C01">
            <w:pPr>
              <w:pStyle w:val="11"/>
              <w:jc w:val="center"/>
              <w:rPr>
                <w:sz w:val="24"/>
                <w:szCs w:val="24"/>
              </w:rPr>
            </w:pPr>
          </w:p>
          <w:p w14:paraId="1405D0DF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spacing w:val="-54"/>
                <w:sz w:val="24"/>
                <w:szCs w:val="24"/>
              </w:rPr>
              <w:t xml:space="preserve">级        </w:t>
            </w:r>
            <w:r>
              <w:rPr>
                <w:rFonts w:hint="eastAsia"/>
                <w:sz w:val="24"/>
                <w:szCs w:val="24"/>
                <w:lang w:eastAsia="zh-CN"/>
              </w:rPr>
              <w:t>10</w:t>
            </w:r>
            <w:r>
              <w:rPr>
                <w:spacing w:val="-54"/>
                <w:sz w:val="24"/>
                <w:szCs w:val="24"/>
              </w:rPr>
              <w:t xml:space="preserve">   </w:t>
            </w:r>
            <w:r>
              <w:rPr>
                <w:spacing w:val="-42"/>
                <w:sz w:val="24"/>
                <w:szCs w:val="24"/>
              </w:rPr>
              <w:t>人</w:t>
            </w:r>
          </w:p>
        </w:tc>
        <w:tc>
          <w:tcPr>
            <w:tcW w:w="1700" w:type="dxa"/>
            <w:tcBorders>
              <w:left w:val="single" w:color="auto" w:sz="4" w:space="0"/>
            </w:tcBorders>
          </w:tcPr>
          <w:p w14:paraId="58EEE4E8">
            <w:pPr>
              <w:pStyle w:val="11"/>
              <w:jc w:val="center"/>
              <w:rPr>
                <w:sz w:val="24"/>
                <w:szCs w:val="24"/>
              </w:rPr>
            </w:pPr>
          </w:p>
          <w:p w14:paraId="78C1CE20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spacing w:val="-54"/>
                <w:sz w:val="24"/>
                <w:szCs w:val="24"/>
              </w:rPr>
              <w:t xml:space="preserve">级   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10</w:t>
            </w:r>
            <w:r>
              <w:rPr>
                <w:spacing w:val="-54"/>
                <w:sz w:val="24"/>
                <w:szCs w:val="24"/>
              </w:rPr>
              <w:t xml:space="preserve">  </w:t>
            </w:r>
            <w:r>
              <w:rPr>
                <w:spacing w:val="-42"/>
                <w:sz w:val="24"/>
                <w:szCs w:val="24"/>
              </w:rPr>
              <w:t>人</w:t>
            </w:r>
          </w:p>
          <w:p w14:paraId="7F74B5CB">
            <w:pPr>
              <w:pStyle w:val="11"/>
              <w:jc w:val="center"/>
              <w:rPr>
                <w:sz w:val="24"/>
                <w:szCs w:val="24"/>
              </w:rPr>
            </w:pPr>
          </w:p>
        </w:tc>
      </w:tr>
      <w:tr w14:paraId="6B30C7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  <w:jc w:val="center"/>
        </w:trPr>
        <w:tc>
          <w:tcPr>
            <w:tcW w:w="2221" w:type="dxa"/>
            <w:vMerge w:val="continue"/>
            <w:tcBorders>
              <w:top w:val="nil"/>
            </w:tcBorders>
          </w:tcPr>
          <w:p w14:paraId="0BB664B6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</w:tcPr>
          <w:p w14:paraId="352B02BE">
            <w:pPr>
              <w:pStyle w:val="11"/>
              <w:jc w:val="center"/>
              <w:rPr>
                <w:sz w:val="24"/>
                <w:szCs w:val="24"/>
              </w:rPr>
            </w:pPr>
          </w:p>
          <w:p w14:paraId="2BBC8737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  <w:lang w:eastAsia="zh-CN"/>
              </w:rPr>
              <w:t>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1900" w:type="dxa"/>
          </w:tcPr>
          <w:p w14:paraId="34C5F510">
            <w:pPr>
              <w:pStyle w:val="11"/>
              <w:jc w:val="center"/>
              <w:rPr>
                <w:sz w:val="24"/>
                <w:szCs w:val="24"/>
              </w:rPr>
            </w:pPr>
          </w:p>
          <w:p w14:paraId="1F200510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  <w:lang w:eastAsia="zh-CN"/>
              </w:rPr>
              <w:t>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1421" w:type="dxa"/>
            <w:tcBorders>
              <w:right w:val="single" w:color="auto" w:sz="4" w:space="0"/>
            </w:tcBorders>
          </w:tcPr>
          <w:p w14:paraId="1B8BD628">
            <w:pPr>
              <w:pStyle w:val="11"/>
              <w:jc w:val="center"/>
              <w:rPr>
                <w:sz w:val="24"/>
                <w:szCs w:val="24"/>
              </w:rPr>
            </w:pPr>
          </w:p>
          <w:p w14:paraId="4A75D69C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  <w:lang w:eastAsia="zh-CN"/>
              </w:rPr>
              <w:t>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sz w:val="24"/>
                <w:szCs w:val="24"/>
                <w:lang w:eastAsia="zh-CN"/>
              </w:rPr>
              <w:t>人</w:t>
            </w:r>
          </w:p>
          <w:p w14:paraId="212FA993">
            <w:pPr>
              <w:pStyle w:val="11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color="auto" w:sz="4" w:space="0"/>
            </w:tcBorders>
          </w:tcPr>
          <w:p w14:paraId="05BE8510">
            <w:pPr>
              <w:pStyle w:val="11"/>
              <w:jc w:val="center"/>
              <w:rPr>
                <w:sz w:val="24"/>
                <w:szCs w:val="24"/>
              </w:rPr>
            </w:pPr>
          </w:p>
          <w:p w14:paraId="4A91FC7A">
            <w:pPr>
              <w:pStyle w:val="11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  <w:lang w:eastAsia="zh-CN"/>
              </w:rPr>
              <w:t>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sz w:val="24"/>
                <w:szCs w:val="24"/>
                <w:lang w:eastAsia="zh-CN"/>
              </w:rPr>
              <w:t>人</w:t>
            </w:r>
          </w:p>
          <w:p w14:paraId="508227C1">
            <w:pPr>
              <w:pStyle w:val="11"/>
              <w:jc w:val="center"/>
              <w:rPr>
                <w:sz w:val="24"/>
                <w:szCs w:val="24"/>
              </w:rPr>
            </w:pPr>
          </w:p>
        </w:tc>
      </w:tr>
      <w:tr w14:paraId="460071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  <w:jc w:val="center"/>
        </w:trPr>
        <w:tc>
          <w:tcPr>
            <w:tcW w:w="2221" w:type="dxa"/>
          </w:tcPr>
          <w:p w14:paraId="7DB909A3">
            <w:pPr>
              <w:pStyle w:val="11"/>
              <w:rPr>
                <w:sz w:val="26"/>
              </w:rPr>
            </w:pPr>
          </w:p>
          <w:p w14:paraId="479A3FDC">
            <w:pPr>
              <w:pStyle w:val="11"/>
              <w:ind w:left="128" w:right="122"/>
              <w:jc w:val="center"/>
              <w:rPr>
                <w:sz w:val="32"/>
              </w:rPr>
            </w:pPr>
            <w:r>
              <w:rPr>
                <w:sz w:val="32"/>
              </w:rPr>
              <w:t>接收基本条件</w:t>
            </w:r>
          </w:p>
        </w:tc>
        <w:tc>
          <w:tcPr>
            <w:tcW w:w="6577" w:type="dxa"/>
            <w:gridSpan w:val="4"/>
            <w:vAlign w:val="center"/>
          </w:tcPr>
          <w:p w14:paraId="13690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0" w:leftChars="50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级学生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所在学院专业第一学期全部课程（ABCDE）平均学分绩点排名前1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%；2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02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级学生所在学院专业前三学期全部课程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（ABCDE）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平均学分绩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点排名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前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%。</w:t>
            </w:r>
          </w:p>
          <w:p w14:paraId="67B14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0" w:leftChars="50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390FA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0" w:leftChars="50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无不及格课程（ABCDE）</w:t>
            </w:r>
          </w:p>
          <w:p w14:paraId="7BA247D0">
            <w:pPr>
              <w:pStyle w:val="11"/>
              <w:jc w:val="left"/>
              <w:rPr>
                <w:rFonts w:ascii="Times New Roman"/>
                <w:sz w:val="34"/>
                <w:lang w:eastAsia="zh-CN"/>
              </w:rPr>
            </w:pPr>
          </w:p>
        </w:tc>
      </w:tr>
      <w:tr w14:paraId="68BD60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  <w:jc w:val="center"/>
        </w:trPr>
        <w:tc>
          <w:tcPr>
            <w:tcW w:w="2221" w:type="dxa"/>
          </w:tcPr>
          <w:p w14:paraId="52D489F7">
            <w:pPr>
              <w:pStyle w:val="11"/>
              <w:rPr>
                <w:sz w:val="26"/>
                <w:lang w:eastAsia="zh-CN"/>
              </w:rPr>
            </w:pPr>
          </w:p>
          <w:p w14:paraId="3DF5932B">
            <w:pPr>
              <w:pStyle w:val="11"/>
              <w:spacing w:before="1"/>
              <w:ind w:left="128" w:right="119"/>
              <w:jc w:val="center"/>
              <w:rPr>
                <w:sz w:val="32"/>
              </w:rPr>
            </w:pPr>
            <w:r>
              <w:rPr>
                <w:sz w:val="32"/>
              </w:rPr>
              <w:t>录取规则</w:t>
            </w:r>
          </w:p>
        </w:tc>
        <w:tc>
          <w:tcPr>
            <w:tcW w:w="6577" w:type="dxa"/>
            <w:gridSpan w:val="4"/>
            <w:vAlign w:val="center"/>
          </w:tcPr>
          <w:p w14:paraId="57D7227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0" w:leftChars="50"/>
              <w:jc w:val="both"/>
              <w:textAlignment w:val="auto"/>
              <w:rPr>
                <w:rFonts w:ascii="Times New Roman"/>
                <w:sz w:val="34"/>
                <w:lang w:eastAsia="zh-CN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  <w:lang w:eastAsia="zh-CN"/>
              </w:rPr>
              <w:t>原则上按同年级所在学院专业全部课程（ABCDE）的平均学分绩点高低排序，以及数学、英语成绩的综合情况择优录取。</w:t>
            </w:r>
          </w:p>
        </w:tc>
      </w:tr>
      <w:tr w14:paraId="3F2FEC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  <w:jc w:val="center"/>
        </w:trPr>
        <w:tc>
          <w:tcPr>
            <w:tcW w:w="2221" w:type="dxa"/>
          </w:tcPr>
          <w:p w14:paraId="0098D01D">
            <w:pPr>
              <w:pStyle w:val="11"/>
              <w:spacing w:before="1"/>
              <w:rPr>
                <w:sz w:val="26"/>
                <w:lang w:eastAsia="zh-CN"/>
              </w:rPr>
            </w:pPr>
          </w:p>
          <w:p w14:paraId="72FCEDD7">
            <w:pPr>
              <w:pStyle w:val="11"/>
              <w:ind w:left="128" w:right="122"/>
              <w:jc w:val="center"/>
              <w:rPr>
                <w:sz w:val="32"/>
              </w:rPr>
            </w:pPr>
            <w:r>
              <w:rPr>
                <w:sz w:val="32"/>
              </w:rPr>
              <w:t>是否独立开班</w:t>
            </w:r>
          </w:p>
        </w:tc>
        <w:tc>
          <w:tcPr>
            <w:tcW w:w="6577" w:type="dxa"/>
            <w:gridSpan w:val="4"/>
            <w:vAlign w:val="center"/>
          </w:tcPr>
          <w:p w14:paraId="77E8DC1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0" w:leftChars="50"/>
              <w:jc w:val="left"/>
              <w:textAlignment w:val="auto"/>
              <w:rPr>
                <w:rFonts w:ascii="Times New Roman"/>
                <w:sz w:val="3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否</w:t>
            </w:r>
          </w:p>
        </w:tc>
      </w:tr>
      <w:tr w14:paraId="1C15D0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  <w:jc w:val="center"/>
        </w:trPr>
        <w:tc>
          <w:tcPr>
            <w:tcW w:w="2221" w:type="dxa"/>
          </w:tcPr>
          <w:p w14:paraId="0CB81725">
            <w:pPr>
              <w:pStyle w:val="11"/>
              <w:spacing w:before="125" w:line="242" w:lineRule="auto"/>
              <w:ind w:left="309" w:right="301" w:firstLine="160"/>
              <w:rPr>
                <w:sz w:val="32"/>
              </w:rPr>
            </w:pPr>
            <w:r>
              <w:rPr>
                <w:sz w:val="32"/>
              </w:rPr>
              <w:t>上课地点</w:t>
            </w:r>
            <w:r>
              <w:rPr>
                <w:w w:val="95"/>
                <w:sz w:val="32"/>
              </w:rPr>
              <w:t>及时间安排</w:t>
            </w:r>
          </w:p>
        </w:tc>
        <w:tc>
          <w:tcPr>
            <w:tcW w:w="6577" w:type="dxa"/>
            <w:gridSpan w:val="4"/>
            <w:vAlign w:val="center"/>
          </w:tcPr>
          <w:p w14:paraId="1AA15E3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0" w:leftChars="50"/>
              <w:jc w:val="left"/>
              <w:textAlignment w:val="auto"/>
              <w:rPr>
                <w:rFonts w:ascii="Times New Roman"/>
                <w:sz w:val="34"/>
                <w:lang w:eastAsia="zh-CN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  <w:lang w:eastAsia="zh-CN"/>
              </w:rPr>
              <w:t>八里台校区，与本专业学生插班上课</w:t>
            </w:r>
          </w:p>
        </w:tc>
      </w:tr>
      <w:tr w14:paraId="4861B3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  <w:jc w:val="center"/>
        </w:trPr>
        <w:tc>
          <w:tcPr>
            <w:tcW w:w="2221" w:type="dxa"/>
          </w:tcPr>
          <w:p w14:paraId="235082DC">
            <w:pPr>
              <w:pStyle w:val="11"/>
              <w:spacing w:before="1"/>
              <w:jc w:val="center"/>
              <w:rPr>
                <w:sz w:val="32"/>
                <w:szCs w:val="32"/>
                <w:lang w:eastAsia="zh-CN"/>
              </w:rPr>
            </w:pPr>
          </w:p>
          <w:p w14:paraId="752A5431">
            <w:pPr>
              <w:pStyle w:val="11"/>
              <w:spacing w:before="1"/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限报专业</w:t>
            </w:r>
          </w:p>
        </w:tc>
        <w:tc>
          <w:tcPr>
            <w:tcW w:w="6577" w:type="dxa"/>
            <w:gridSpan w:val="4"/>
          </w:tcPr>
          <w:p w14:paraId="29EF312F">
            <w:pPr>
              <w:rPr>
                <w:color w:val="FF0000"/>
                <w:sz w:val="24"/>
                <w:szCs w:val="24"/>
                <w:lang w:eastAsia="zh-CN"/>
              </w:rPr>
            </w:pPr>
          </w:p>
          <w:p w14:paraId="07F91329">
            <w:pPr>
              <w:rPr>
                <w:sz w:val="24"/>
                <w:szCs w:val="24"/>
                <w:lang w:eastAsia="zh-CN"/>
              </w:rPr>
            </w:pPr>
          </w:p>
        </w:tc>
      </w:tr>
      <w:tr w14:paraId="4284AD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  <w:jc w:val="center"/>
        </w:trPr>
        <w:tc>
          <w:tcPr>
            <w:tcW w:w="2221" w:type="dxa"/>
          </w:tcPr>
          <w:p w14:paraId="7BAD2F2F">
            <w:pPr>
              <w:pStyle w:val="11"/>
              <w:spacing w:before="1"/>
              <w:rPr>
                <w:sz w:val="26"/>
                <w:lang w:eastAsia="zh-CN"/>
              </w:rPr>
            </w:pPr>
          </w:p>
          <w:p w14:paraId="2A530E3E">
            <w:pPr>
              <w:pStyle w:val="11"/>
              <w:ind w:left="128" w:right="122"/>
              <w:jc w:val="center"/>
              <w:rPr>
                <w:sz w:val="32"/>
              </w:rPr>
            </w:pPr>
            <w:r>
              <w:rPr>
                <w:sz w:val="32"/>
              </w:rPr>
              <w:t>特殊情况说明</w:t>
            </w:r>
          </w:p>
        </w:tc>
        <w:tc>
          <w:tcPr>
            <w:tcW w:w="6577" w:type="dxa"/>
            <w:gridSpan w:val="4"/>
          </w:tcPr>
          <w:p w14:paraId="55185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/>
              <w:jc w:val="both"/>
              <w:textAlignment w:val="auto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/>
                <w:sz w:val="24"/>
                <w:szCs w:val="24"/>
                <w:lang w:eastAsia="zh-CN"/>
              </w:rPr>
              <w:t>提交材料时请在成绩单上注明专业排名（ABCDE）及专业人数并加盖教务部门公章。</w:t>
            </w:r>
          </w:p>
          <w:p w14:paraId="67457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/>
              <w:jc w:val="both"/>
              <w:textAlignment w:val="auto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/>
                <w:sz w:val="24"/>
                <w:szCs w:val="24"/>
                <w:lang w:eastAsia="zh-CN"/>
              </w:rPr>
              <w:t>以上四个专业不得同时申报，一经发现取消申报资格。</w:t>
            </w:r>
          </w:p>
          <w:p w14:paraId="08A53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/>
              <w:jc w:val="both"/>
              <w:textAlignment w:val="auto"/>
              <w:rPr>
                <w:rFonts w:ascii="Times New Roman"/>
                <w:sz w:val="3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3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/>
                <w:sz w:val="24"/>
                <w:szCs w:val="24"/>
                <w:lang w:eastAsia="zh-CN"/>
              </w:rPr>
              <w:t>获得学业警示的学生不能报名。</w:t>
            </w:r>
          </w:p>
        </w:tc>
      </w:tr>
    </w:tbl>
    <w:p w14:paraId="421E513B">
      <w:pPr>
        <w:rPr>
          <w:lang w:eastAsia="zh-CN"/>
        </w:rPr>
      </w:pPr>
    </w:p>
    <w:p w14:paraId="2814664E">
      <w:pPr>
        <w:rPr>
          <w:lang w:eastAsia="zh-CN"/>
        </w:rPr>
      </w:pPr>
    </w:p>
    <w:sectPr>
      <w:type w:val="continuous"/>
      <w:pgSz w:w="11910" w:h="16840"/>
      <w:pgMar w:top="1580" w:right="1020" w:bottom="280" w:left="12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036"/>
    <w:rsid w:val="00005763"/>
    <w:rsid w:val="00137534"/>
    <w:rsid w:val="001656F4"/>
    <w:rsid w:val="001D5247"/>
    <w:rsid w:val="001E3F3C"/>
    <w:rsid w:val="001F3B4E"/>
    <w:rsid w:val="0021559C"/>
    <w:rsid w:val="002442D4"/>
    <w:rsid w:val="002E7542"/>
    <w:rsid w:val="0039287C"/>
    <w:rsid w:val="005272B8"/>
    <w:rsid w:val="005606E5"/>
    <w:rsid w:val="00597036"/>
    <w:rsid w:val="005A643A"/>
    <w:rsid w:val="005C6F10"/>
    <w:rsid w:val="00617EEC"/>
    <w:rsid w:val="00652060"/>
    <w:rsid w:val="00666CC3"/>
    <w:rsid w:val="006B06BB"/>
    <w:rsid w:val="006B1ACF"/>
    <w:rsid w:val="006B5C4D"/>
    <w:rsid w:val="006D5FC2"/>
    <w:rsid w:val="006F1174"/>
    <w:rsid w:val="006F6CA7"/>
    <w:rsid w:val="00745621"/>
    <w:rsid w:val="00751140"/>
    <w:rsid w:val="00766BD2"/>
    <w:rsid w:val="00896C31"/>
    <w:rsid w:val="008B0218"/>
    <w:rsid w:val="009034D1"/>
    <w:rsid w:val="0098011F"/>
    <w:rsid w:val="00A740A5"/>
    <w:rsid w:val="00A74DF9"/>
    <w:rsid w:val="00AB5D5B"/>
    <w:rsid w:val="00AC68F9"/>
    <w:rsid w:val="00AD6518"/>
    <w:rsid w:val="00C331D5"/>
    <w:rsid w:val="00C96660"/>
    <w:rsid w:val="00CE1CE5"/>
    <w:rsid w:val="00D03276"/>
    <w:rsid w:val="00D530BA"/>
    <w:rsid w:val="00D802CD"/>
    <w:rsid w:val="00DA18AB"/>
    <w:rsid w:val="00E34E32"/>
    <w:rsid w:val="00EC4884"/>
    <w:rsid w:val="00F02802"/>
    <w:rsid w:val="15CF79D4"/>
    <w:rsid w:val="442D64E6"/>
    <w:rsid w:val="64AB58F1"/>
    <w:rsid w:val="670C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en-US" w:eastAsia="en-US" w:bidi="ar-SA"/>
    </w:rPr>
  </w:style>
  <w:style w:type="paragraph" w:styleId="2">
    <w:name w:val="heading 1"/>
    <w:basedOn w:val="1"/>
    <w:link w:val="8"/>
    <w:qFormat/>
    <w:uiPriority w:val="9"/>
    <w:pPr>
      <w:ind w:left="326"/>
      <w:outlineLvl w:val="0"/>
    </w:pPr>
    <w:rPr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0"/>
    <w:qFormat/>
    <w:uiPriority w:val="1"/>
    <w:rPr>
      <w:sz w:val="32"/>
      <w:szCs w:val="32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字符"/>
    <w:basedOn w:val="7"/>
    <w:link w:val="2"/>
    <w:qFormat/>
    <w:uiPriority w:val="9"/>
    <w:rPr>
      <w:rFonts w:ascii="宋体" w:hAnsi="宋体" w:eastAsia="宋体" w:cs="宋体"/>
      <w:kern w:val="0"/>
      <w:sz w:val="44"/>
      <w:szCs w:val="44"/>
      <w:lang w:eastAsia="en-US"/>
    </w:rPr>
  </w:style>
  <w:style w:type="table" w:customStyle="1" w:styleId="9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正文文本 字符"/>
    <w:basedOn w:val="7"/>
    <w:link w:val="3"/>
    <w:qFormat/>
    <w:uiPriority w:val="1"/>
    <w:rPr>
      <w:rFonts w:ascii="宋体" w:hAnsi="宋体" w:eastAsia="宋体" w:cs="宋体"/>
      <w:kern w:val="0"/>
      <w:sz w:val="32"/>
      <w:szCs w:val="32"/>
      <w:lang w:eastAsia="en-US"/>
    </w:rPr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字符"/>
    <w:basedOn w:val="7"/>
    <w:link w:val="5"/>
    <w:qFormat/>
    <w:uiPriority w:val="99"/>
    <w:rPr>
      <w:rFonts w:ascii="宋体" w:hAnsi="宋体" w:eastAsia="宋体" w:cs="宋体"/>
      <w:kern w:val="0"/>
      <w:sz w:val="18"/>
      <w:szCs w:val="18"/>
      <w:lang w:eastAsia="en-US"/>
    </w:rPr>
  </w:style>
  <w:style w:type="character" w:customStyle="1" w:styleId="13">
    <w:name w:val="页脚 字符"/>
    <w:basedOn w:val="7"/>
    <w:link w:val="4"/>
    <w:qFormat/>
    <w:uiPriority w:val="99"/>
    <w:rPr>
      <w:rFonts w:ascii="宋体" w:hAnsi="宋体" w:eastAsia="宋体" w:cs="宋体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328</Words>
  <Characters>401</Characters>
  <Lines>3</Lines>
  <Paragraphs>1</Paragraphs>
  <TotalTime>10</TotalTime>
  <ScaleCrop>false</ScaleCrop>
  <LinksUpToDate>false</LinksUpToDate>
  <CharactersWithSpaces>444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2022-05-03T06:58:00Z</dcterms:created>
  <dc:creator>Yuan</dc:creator>
  <cp:lastModifiedBy>WPS_1537742502</cp:lastModifiedBy>
  <cp:lastPrinted>2025-05-09T06:16:00Z</cp:lastPrinted>
  <dcterms:modified xsi:type="dcterms:W3CDTF">2025-05-14T02:05:17Z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eyJoZGlkIjoiY2IwZjU2MWY3Y2M3NGM1OGQ0MGJjNDM1ZDFlMDUyMDkiLCJ1c2VySWQiOiI0MDkzNDAxMjEifQ==</vt:lpwstr>
  </property>
  <property fmtid="{D5CDD505-2E9C-101B-9397-08002B2CF9AE}" pid="3" name="KSOProductBuildVer">
    <vt:lpwstr>2052-12.1.0.20784</vt:lpwstr>
  </property>
  <property fmtid="{D5CDD505-2E9C-101B-9397-08002B2CF9AE}" pid="4" name="ICV">
    <vt:lpwstr>239985B0D03841D0967A7B2F224C7AD4_13</vt:lpwstr>
  </property>
</Properties>
</file>